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«Русский Дом» обратилось в Арбитражный суд Саратовской области с иском о взыскании с общества с ограниченной ответственностью «Волгопромгаз» 3 325 043 рублей 60 копеек задолженности по договору оказания услуг по управлению и эксплуатации гостиницы от 29.11.2019 № ХВ-01, 349 129 рублей 20 копеек пени за просрочку оплаты оказанных услуг, с дальнейшим начислением неустойки до момента фактического исполнения обязательства. Решением Арбитражного суда Саратовской области от 26.02.2021 в удовлетворении иска отказано. Постановлением Двенадцатого арбитражного апелляционного суда от 19.05.2021 решение суда первой инстанции оставлено без изменения. Арбитражный суд Поволжского округа постановлением от 07.09.2021 указанные судебные акты оставил без изменения. Общество с ограниченной ответственностью «Русский Дом»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доказательств осуществления истцом действий (деятельности) по управлению гостиничным комплексом и достижения результата не представлено, выплата вознаграждения истцу (управляющему) зависит от получения владельцем гостиничного комплекса (ответчиком) чистый прибыли, при этом прибыль за спорный период отсутствует, руководствуясь положениями статей 309, 310, 431, 779, 781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«Русский 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