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Шеловского Геннадия Геннадьевича в Арбитражный суд Оренбургской области обратилась Шеловская Ольга Ивановна с заявлением об исключении части принадлежащего ей движимого и недвижимого имущества из конкурсной массы должника (нежилых помещений, жилых помещений, земельных участков, жилых домов и автомобиля). Определением Арбитражного суда Оренбургской области от 26.02.2021 в удовлетворении заявления об исключении имущества из конкурсной массы должника отказано. Постановлением Восемнадцатого арбитражного апелляционного суда от 24.06.2021 определение суда первой инстанции оставлено без изменения. Арбитражный суд Уральского округа постановлением от 29.09.2021 указанные судебные акты оставил без изменения. Шеловский Геннадий Геннадьевич и Шеловская Ольга Ивановна обратились в Судебную коллегию Верховного Суда Российской Федерации с 2 кассационными жалобами и дополнением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 дополнения, изученным по материалам, приложенным к ним, не установлено. Разрешая спорный вопрос, суды руководствовались статьями 131, 213.25, 213.26 Федерального закона от 26.10.2002 № 127-ФЗ «О несостоятельности (банкротстве)», разъяснениями, изложенными в пункте 9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установили, что брачный договор от 14.02.2017 совершен супругами при наличии у Шеловского Г.Г. иных обязательств перед кредиторами, в связи с чем такие кредиторы изменением режима имущества супругов Шеловских юридически не связаны, а какие-либо иные основания считать спорное имущество единоличной собственностью Шеловской О.И. отсутствуют, вследствие чего оно правомерно включено в конкурсную массу должника для дальнейшего проведения в отношении данного имущества конкурсных процедур и оснований для его исключения из конкурсной массы должника не имеется. Доводы жалоб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Шеловскому Геннадию Геннадьевичу и Шеловской Ольге Ивановне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