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08.12.2020, оставленным без изменения постановлением Девятнадцатого арбитражного апелляционного суда от 01.06.2021, требования общества удовлетворены частично, оспариваемое решение признано недействительным в части начисления штрафа по налогу на добавленную стоимость в сумме 717 948 рублей, в удовлетворении требований в остальной части отказано. Постановлением Арбитражного суда Центрального округа от 08.09.2021 названные судебные акты в части отказа обществу в удовлетворении требований о признании недействительным оспариваемого решения относительно доначисления налога на имущество в размере 1 241 212 рублей и соответствующих сумм пени отменены, дело в указанной части направлено на новое рассмотрение в Арбитражный суд Воронежской области, в остальной части судебные акты оставить без изменения. В кассационной жалобе, поступившей в Верховный Суд Российской Федерации, общество просит отменить указанные судебные акты в части отказа в удовлетворении заявленных требований, считая их принятыми с нарушением норм материального и процессуального права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 изучении доводов жалобы и принятых по делу судебных актов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 Оценив представленные доказательства, руководствуясь статьями 373, 374, 381 Налогового кодекса Российской Федерации, статьями 2, 6, 10, 12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суды отказали в удовлетворении требований в обжалуемой части, признав необоснованным применение обществом при исчислении налога льготы, предусмотренной пунктом 21 статьи 381 Налогового кодекса Российской Федерации. Выводы судов в указанной части не противоречат правовой позиции, изложенной в определении Конституционного Суда Российской Федерации от 02.07.2019 № 1831-О. Доводы жалобы были предметом исследования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