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25.03.2021, оставленным без изменения постановлением Четырнадцатого арбитражного апелляционного суда от 27.05.2021, в удовлетворении заявления отказано. Постановлением Арбитражного суда Северо-Западного округа от 10.09.2021 указанные судебные акты оставлены без изменения. 2 Солкарян Л.В. просит обжалуемые судебные акты отменить, считая их незаконными и необоснованными. Между тем, исходя из смысла статьи 24.5 Кодекса Российской Федерации об административных правонарушениях производство по делу об административном правонарушении не может быть начато, а начатое подлежит прекращению в случае истечения установленных статьей 4.5 Кодекса сроков давности привлечения к административной ответственности. Кодекс не предусматривает возможности формулировать выводы о виновности лица, в отношении которого возбуждалось производство по делу об административном правонарушении, при прекращении производства по делу и за пределами срока давности привлечения к административной ответственности. При установленных обстоятельствах, связанных с истечением срока давности привлечения к административной ответственности по данной категории дел,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