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Свердловской области от 19.04.2021, оставленным без изменения постановлением Семнадцатого арбитражного апелляционного суда от 17.06.2021, оспариваемое постановление признано 2 незаконным в части назначенного наказания в виде штрафа, превышающего 872 655 рублей. Постановлением Арбитражного суда Уральского округа от 08.10.2021 указанные судебные акты оставлены без изменения. Общество обратилось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Изучив изложенные в жалобе доводы,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Частью 2 статьи 16.2 Кодекса Российской Федерации об административных правонарушениях установлена ответственность за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3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Оценив представленные доказательства, руководствуясь положениями статей 20, 84, 106, 108 Таможенного кодекса Евразийского экономического союза, суды пришли к выводу о наличии в действиях общества состава правонарушения, ответственность за которое предусмотрена частью 2 статьи 16.2 Кодекса Российской Федерации об административных правонарушениях, признав, что неполнота описания характеристик спорного товара в части его области применения, принципа действия, типа бирки как акустомагнитной, привела к заявлению недостоверного кода товара и занижению размера подлежащих уплате таможенных пошлин. Судами также установлено, что процедура и срок давности привлечения к административной ответственности соблюдены, оснований для применения положений статей 2.9 Кодекса Российской Федерации об административных правонарушениях не имеется. Штраф снижен судом ниже низшего размера санкции нормы. Доводы жалобы сводятся к несогласию с установленными судами фактическими обстоятельствами дела и оценкой доказательств, что в силу статьи 2916 Арбитражного процессуального кодекса Российской Федерации не может являться основанием для отмены оспариваемых судебных актов в кассационном порядке.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