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Московской области от 30.04.2021 и постановление Арбитражного суда Московского округа от 06.09.2021 по делу № А41-10013/201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