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18.03.2021, оставленным без изменения постановлением Одиннадцатого арбитражного апелляционного суда от 03.06.2021 и постановлением Арбитражного суда Поволжского округа от 26.08.2021, иск удовлетворен.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таких оснований по результатам изучения принятых по делу судебных актов и доводов кассационной жалобы не установлено. Разрешая спор и удовлетворяя исковые требования, суды первой и апелляционной инстанций руководствовались статьями 15, 393, 702, 723 Гражданского кодекса Российской Федерации, положениями ГОСТ Р 50597-93. «Государственный стандарт Российской Федерации. Автомобильные дороги и улицы. Требования к эксплуатационному состоянию, допустимому по условиям обеспечения безопасности дорожного движения», утвержденного Постановлением Госстандарта России от 11.10.1993 № 221,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и, исследовав и оценив по правилам статьи 71 Арбитражного процессуального кодекса Российской Федерации, пришли к выводу о наличии совокупности условий, являющейся основанием для взыскания с предприятия убытков в виде стоимости ущерба, причиненного транспортному средству в результате дорожно-транспортного происшествия. При этом суды исходили из того, что министерством понесены убытки в виде суммы, взысканной с него арбитражным судом в пользу собственника транспортного средства, получившего повреждения в результате дорожно-транспортного происшествия, произошедшего из-за ненадлежащего состояния дорожного полотна автомобильной дороги, ответственность за содержание которой в соответствии с государственным контрактом была возложена на предприятие.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предприятия Самарской области «Агентство по содержанию автомобильных дорог общего пользования Самарской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