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«Стройэколандшафт» (далее – общество «Стройэколандшафт») обратилось в суд с заявлением о включении требований в размере 47 480 000 рублей в реестр требований кредиторов должника (далее – реестр). Определением Арбитражного суда города Москвы от 02.03.2021, оставленным без изменения постановлениями Девятого арбитражного апелляционного суда от 07.06.2021 и Арбитражного суда Московского округа от 24.08.2021, отказано в удовлетворении заявления. В кассационной жалобе, поданной в Верховный Суд Российской Федерации, заявитель выражает несогласие с рядом выводов, содержащихся в мотивировочных частях постановлений судов апелляционной инстанций и округа, просит отменить указанные судебные акты в соответствующих частях, исключив данные выводы из их мотивировочных частей.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суды исходили из отсутствия факта неосновательного обогащения должника за счет общества ««Стройэколандшафт». Приходя к обжалуемым выводам, суды обоснованно руководствовались обстоятельствами, установленными в рамках рассмотрения обособленного спора о включении требований должника в реестр в рамках дела № А40- 261084/2019 о банкротстве общества «Стройэколандшафт». Доводы жалобы, по сути, направлены на пересмотр итогов рассмотрения иных споров и не направлены на изменение итогов рассмотрения настоящего, а также не опровергают правильность его разрешения. При этом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Существенных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«Автострой» Келауридзе Виктору Георгиевичу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