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признании недействительной сделкой брачного договора от 28.07.2014, заключённого между должником и его супругой Бухалиной Ириной Яковлевной. Определением Арбитражного суда Тюменской области от 11.11.2020, оставленным без изменения постановлением Восьмого арбитражного апелляционного суда от 25.02.2021, заявление удовлетворено. Постановлением Арбитражного суда Западно-Сибирского округа от 11.08.2021 данные судебные акты отменены, в удовлетворении заявления отказано. В кассационной жалобе, поданной в Верховный Суд Российской Федерации, заявитель просит отменить постановление суда округа, оставить без изменения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Отменяя принятые по спору судебные акты и отказывая в удовлетворении заявления, суд округа, руководствуясь положениями статей 10, 168 и 170 Гражданского кодекса Российской Федерации, статей 38, 42, 46 Семейного кодекса Российской Федерации, позицией, изложенной в пункте 9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исходил из отсутствия причин для удовлетворения требований финансового управляющего должником по заявленным основаниям.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Бухалина Андрея Михайловича Горовенко Василию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