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16.03.2021, оставленным без изменения постановлением Девятого арбитражного апелляционного суда от 21.05.2021 и постановлением Арбитражного суда Московского округа от 26.08.2021, иск удовлетворен. В кассационной жалобе общество «МЕДЭЛ» просит об отмене судебных актов, ссылаясь на противоречие их условиям рамочного соглашения и отсутствие оценки доводов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Признав доказанным несение истцом (исполнителем) расходов для исполнения обязательств до отказа ответчиком (заказчиком) от рамочного соглашения об оказании услуг от 16.05.2019, суды применили последствие, предусмотренное пунктом 1 статьи 782 Гражданского кодекса Российской Федерации. Обстоятельства, составляющие условия для применения договорной ответственности, установлены судами в соответствии с компетенцией и не подлежат пересмотру в кассационного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