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Ростовской области от 25.12.2020, оставленным без изменения постановлением Пятнадцатого арбитражного апелляционного суда от 26.05.2021 и постановлением Арбитражного суда Северо-Кавказского округа от 16.09.2021, в удовлетворении заявления отказано. В кассационной жалобе банк просит об отмене судебных актов, ссылаясь на неправильные оценку обстоятельств совершения сделки и исчисление срока исковой давности.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обстоятельства совершения дарения, на которые ссылается банк в обоснование оспаривания юридической силы договора, не выходят за пределы определенных законодательством о банкротстве оснований недействительности сделок, однако для признания их недействительными по таким основаниям пропущен срок исковой давности (пункт 2 статьи 181 Гражданского кодекса Российской Федерации). Довод банка об исполнении должником обязанности по передаче документов по суду не опровергает истечения срока исковой давности, учитывая определение его судами применительно к наступлению осведомленности финансового управляющего о совершении сделки.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«Промсвязьбанк»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