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20.02.2021, оставленным без изменения постановлением Девятого арбитражного апелляционного суда от 20.04.2021 и постановлением Арбитражного суда Московского округа от 27.08.2021, признан обоснованным отказ финансового управляющего в начислении процентов по требованию банка по текущим платежам, заявленным 11.09.2020 и 03.11.2020. В кассационной жалобе банк просит об отмене судебных актов, ссылаясь на обязанность включения требования о процентах в определенном размере в реестр независимо от возможности исполнения.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Вопреки аргументам банка суды отказали во включении процентов в реестр текущих платежей по итогу анализа финансового состояния должника, не позволяющего удовлетворить требования по текущим платежам кредиторов первой очереди.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