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признании его требования, ранее включенного в реестр требований кредиторов должника, общим обязательством должника и его супруги ФИО2. Определением Арбитражного суда Ростовской области от 17.07.2019 заявление удовлетворено. Постановлением Пятнадцатого арбитражного апелляционного суда от 17.11.2019, оставленным без изменения постановлением Арбитражного суда Северо-Кавказского округа от 21.01.2020,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повторно разрешая спор, апелляционный суд руководствовался статьями 196 , 199 , 200 , 308 , 334 , 335 , 348 , 810 Гражданского кодекса Российской Федерации, статьями 39, 45 Семейного кодекса Российской Федерации, статьями 213.25, 213.26 Федерального закона № 127-ФЗ от 26.10.2002 «О несостоятельности (банкротстве)», положениями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исходя из конкретных обстоятельств спора, установив, что требование заявителя возникло из обеспечительной сделки поручителя должника во исполнение обязательств третьего лица, не являющейся общим обязательством супругов, а также принимая во внимание пропуск обществом срока исковой давности, отказал в удовлетворении заявления.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«СпецАрматура»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Некоммерческая организация "Гарантийный фонд Ростовской области" (подробнее) ООО "ТОРГОВЫЙ ДОМ" СПЕЦАРМАТУРА" (подробнее) ПАО Банк ВТБ 24 (подробнее) ПАО "Сбербанк России" (подробнее) Фонд НЕКОММЕРЧЕСКАЯ ОРГАНИЗАЦИЯ "ГАРАНТИЙНЫЙ РОСТОВСКОЙ ОБЛАСТИ" (подробнее) Иные лица: НП "СРО "Сибирский центр экспертов антикризисного управления" (подробнее) Росреестр (подробнее) Саморегулируемая организация арбитражных управляющих "Межрегиональный центр экспертов и профессиональных управляющих" (подробнее) УФНС по РО (подробнее) Финансовый управляющий Ханбеков А.В (подробнее) Ф/У Ханбеков Александр Владимирович (подробнее) Судьи дела: Корнелюк Е.С. (судья) (подробнее) Судебная практика по: Исковая давность, по срокам давности Судебная практика по применению норм ст. 200, 202, 204, 205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