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01.03.2021, оставленным без изменения постановлением Восемнадцатого арбитражного апелляционного суда от 15.06.2021 и постановлением Арбитражного суда Уральского округа от 25.08.2021, заявление о принятии обеспечительных мер удовлетворено. В кассационной жалобе Шавкун Н.С. просит об отмене судебных актов, ссылаясь на неопределение условий хранения транспортного средства.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Обеспечение сохранности имущества, входящего в конкурсную массу, является обязанностью финансового управляющего в силу закона и презюмируется. Обоснование невозможности исполнения этой обязанности возлагается на заявителя и отсутствие такового придает заявлению о незаконности принятой меры голословность.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Шавкун Надежде Спиридоновне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