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01.04.2021, оставленным без изменения постановлением Девятого арбитражного апелляционного суда от 25.06.2021 и постановлением Арбитражного суда Московского округа от 02.09.2021, в удовлетворении заявления отказано. В кассационной жалобе Волохов Р.Н. просит о пересмотре судебных актов, ссылаясь на отсутствие препятствий для возврата имущества в конкурсную массу и недобросовестность покупателя.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статьей 308.3 Гражданского кодекса Российской Федерации, пунктами 28, 31, 32, 34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исходили из отсутствия у покупателя возможности исполнить определение Арбитражного суда города Москвы от 12.10.2020 о возврате в конкурсную массу имущества в связи с наложением на указанное имущество ареста в рамках уголовного дела постановлением следователя и судебными актами судов общей юрисдикции. Довод управляющего об использовании обеспечительной меры с противоправной целью неоснователен, поскольку арест наложен судом.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Волохову Роману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