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08.04.2021, оставленным без изменения постановлением Тринадцатого арбитражного апелляционного суда от 30.06.2021 и постановлением Арбитражного суда Северо-Западного округа от 01.10.2021, обществу отказано в пересмотре решения. В кассационной жалобе общество просит об отмене судебных актов, ссылаясь на ненадлежащую оценку его доводов, неосновательный вывод о пропуске срока на подачу заявления.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Довод, касающийся срока подачи заявления, не имеет значения в имеющемся случае рассмотрения заявления по существу. В силу статьи 65 Арбитражного процессуального кодекса Российской Федерации обязанность доказывания возражений возложена на ответчика. Суды установили, что, обладая в период принятия решения от 27.04.2020 сведениями о лице, использовавшем автомобиль для слива сточной воды, своих возражений в отношении иска не обосновал. Заявление об указанном обстоятельстве после рассмотрения дела по существу не наделяет его признаком, требуемым в силу пункта 1 части 2 статьи 311 Арбитражного процессуального кодекса Российской Федерации для пересмотра решения, на что правильно указали суды.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«ЭНЕРГИЯ ЭКО»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