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01.04.2021, оставленным без изменения постановлением Девятого арбитражного апелляционного суда от 25.06.2021 и постановление Арбитражного суда Московского округа от 31.08.2021, в удовлетворении заявления отказано. В кассационной жалобе Волохов Р.Н. просит о пересмотре судебных актов, ссылаясь на отсутствие препятствий для возврата имущества в конкурсную массу.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статьями 308.3 Гражданского кодекса Российской Федерации, пунктами 28, 31, 32, 34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отсутствия у должника возможности исполнить определение Арбитражного суда города Москвы от 08.02.2019 о возврате в конкурсную массу имущества в связи с наложением судебным актом Тверского районного суда города Москвы ограничений на указанное имущество в виде запрета распоряжения.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Волохову Роману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