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01.04.2021, оставленным без изменения постановлением Девятого арбитражного апелляционного суда от 25.06.2021 и постановление Арбитражного суда Московского округа от 02.09.2021, в удовлетворении заявления отказано. В кассационной жалобе Волохов Р.Н. просит о пересмотре судебных актов, ссылаясь на отсутствие препятствий для возврата имущества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статьей 308.3 Гражданского кодекса Российской Федерации, пунктами 28, 31, 32, 34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отсутствия у приобретателя возможности исполнить определение Арбитражного суда города Москвы от 31.07.2019 о возврате в конкурсную массу имущества в связи с наложением судебным актом Тверского районного суда города Москвы ограничений на указанное имущество в виде запрета распоряжения.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Волохову Роману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