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суд с заявлением о включении в реестр требований кредиторов должника задолженности в размере 13 332 238,13 руб., основанной на неисполнении должником (заемщиком) обязательств по заключенному с ФИО1 (займодавцем) договору займа от 27.03.2012. Финансовый управляющий должником ФИО3 обратилась в суд с заявлением о признании недействительным дополнительного соглашения от 10.07.2019 № 2 к вышеуказанному договору займа. Рассмотрев указанные заявления совместно, суд первой инстанции определением от 24.08.2020, оставленным в силе судами апелляционной инстанции и округа, в удовлетворении требований ФИО1 отказал; заявление финансового управляющего ФИО3 о признании дополнительного соглашения недействительным удовлетворено В кассационной жалобе, поданной в Верховный Суд Российской Федерации, ФИО1 указывает на нарушения в толковании и применении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АПК РФ основания для передачи жалобы для рассмотрения в судебном заседании отсутствуют. Оценив представленные в материалы обособленного спора доказательства по правилам статей 65 , 71 АПК РФ , установив, что оспариваемая сделка совершена в период подозрительности, предусмотренный пунктом 2 статьи 61.2 Закона о банкротств, в пользу заинтересованного по отношению к должнику лица и при наличии на стороне должника признаков неплатежеспособности, суды признали сделку недействительной, как совершенную с целью причинения вреда имущественным правам кредиторов должника. При рассмотрении требования ФИО1, учитывая заявление кредитора должника товарищества "Жилые высотки "Антарес" о пропуске срока исковой давности, руководствуясь положениями статей 196 , 200 , 201 Гражданского кодекса Российской Федерации, разъяснениями, содержащимися в пунктах 14, 15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заключив, что в соответствии с дополнительным соглашением № 1 к договору от 18.07.2015 срок исковой давности истекал 18.07.2016, а дополнительное соглашение № 2, которым срок возврата займа продлен, признано судом недействительным, учитывая, что после 18.07.2016 кредитор действий, направленных на истребование суммы займа не предпринимал, в связи с чем, срок исковой давности не прерывался, отмечая, что признание части долга, в том числе путем уплаты его части, не свидетельствует о признании долга в целом, если иное не оговорено должником (пункт 20 Постановления Пленума от 29.09.2015 № 43 «О некоторых вопросах, связанных с применением норм Гражданского кодекса Российской Федерации об исковой давности»), суды признали пропущенным срок исковой давности, отказав ФИО1 во включении в реестр требований кредиторов должника. Оснований, по которым возможно не согласиться с выводами судов, заявителем не приведено. Доводы подателя кассационной жалобы по существу сводятся к несогласию с произведенной судами оценкой доказательств, что не свидетельствует о наличии оснований для передачи кассационной жалобы в судебное заседание, поскольку полномочиями по переоценке доказательств судебная коллегия не обладает.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Администрация Березовского городского округа (Комитет по управлению имуществом) (подробнее) АО "Пойнт ту Пойнт" (подробнее) АО Пойнт ту Пойнт (подробнее) ОАО КБ "Стройкредит" (подробнее) ОСП ИНСПЕКЦИЯ ФЕДЕРАЛЬНОЙ НАЛОГОВОЙ СЛУЖБЫ ПО КИРОВСКОМУ РАЙОНУ Г. ЕКАТЕРИНБУРГА (подробнее) ПАО Банк ВТБ (подробнее) ТСЖ ЖИЛЫЕ ВЫСОТКИ АНТАРЕС (подробнее) Ответчики: ИП Кожевников Константин Игоревич (подробнее) Иные лица: Главное управление Министерства внутренних дел Российской Федерации по Свердловской области (подробнее) ЗАО ОБЩЕСТВО С ОГРАНИЧЕННОЙ ОТВЕТСТВЕННОСТЬЮ ФОНД РАДОМИР (подробнее) Инспекция Федеральной налоговой службы по Кировскому району г. Екатеринбурга (подробнее) Межрегиональное управление Федеральной службы по финансовому мониторингу по Уральскому Федеральному округу (подробнее) НП "Объединение арбитражных управляющих "Авангард" (подробнее) ОГИБДД ОМВД по г. Губкинскому (подробнее) ООО "УК ТЛЦ Косулино" (подробнее) ООО УРАЛЬСКИЙ РЕГИОНАЛЬНЫЙ ЦЕНТР ЭКОНОМИКИ И ЦЕНООБРАЗОВАНИЯ В СТРОИТЕЛЬСТВЕ (подробнее) Судьи дела: Самуйлов С.В.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