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Митрофанова Сергея Николаевича в Арбитражный суд Чувашской Республики - Чувашии обратился индивидуальный предприниматель Кочетков Алексей Геннадьевич с заявлением о замене кредитора - общества с ограниченной ответственностью «Строительное управление «Рубин» на правопреемника – ИП Кочеткова А.Г. в отношении требования в размере 5 022 574 рублей 29 копеек, включенного в третью очередь реестра требований кредиторов должника. Определением Арбитражного суда Чувашской Республики – Чувашии от 15.02.2021 заявление удовлетворено. Постановлением Первого арбитражного апелляционного суда от 01.07.2021 определение суда первой инстанции оставлено без изменения. Арбитражный суд Волго-Вятского округа постановлением от 27.09.2021 указанные судебные акты оставил без изменения. 2 Митрофанов Сергей Николаевич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замене кредитора, суды руководствовались положениями статьи 48 Арбитражного процессуального кодекса Российской Федерации, статей 382 и 384 Гражданского кодекса Российской Федерации и исходили из того, что право требования к должнику приобретено в результате не оспоренных и не признанных недействительными торгов по реализации дебиторской задолженности, уступка оплачена, правопреемство в материально- правовом смысле состоялось.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 основанием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Митрофанову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