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03.03.2021, оставленным без изменения постановлением Одиннадцатого арбитражного апелляционного суда от 01.06.2021, в реестр требований должника о передаче жилых помещений включено требование Зацепина М.А. о передаче квартиры № 3, расположенной по адресу: г. Ульяновск, ул. Орджоникидзе, д. 36/54. Арбитражный суд Поволжского округа постановлением от 24.08.2021 определение от 03.03.2021 и постановление Одиннадцатого арбитражного апелляционного суда от 01.06.2021 оставил без изменения. В кассационной жалобе Администрация города Ульяновска просит об отмене судебных актов, ссылаясь на обязанность должника по удовлетворению требования заявителя за счет собственного имущества, учитывая исчерпание его доли в многоквартирном жилом доме включением в реестр шести участников долевого строительства.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включении требований участников долевого строительства, имеющих договоры с должником, в реестр о передаче жилых помещений учитывается равенство прав участников, поэтому исходя из действительности договора с Зацепиным М.А., его требование удовлетворено в соответствии пунктом 6 статьи 201.1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Ульяновска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