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21.10.2019 в отношении ФИО1 введена процедура реструктуризации долгов гражданина, финансовым управляющим утвержден ФИО2. Финансовый управляющий обратился в суд с ходатайством о введении в отношении должника процедуры реализации имущества. Должником заявлено ходатайство об утверждении разработанного им плана реструктуризации долгов гражданина. Определением Арбитражного суда Московской области от 02.02.2021 утвержден план реструктуризации долгов ФИО1 в редакции, представленной должником, предусматривающей полное погашение требований кредиторов, включенных в реестр требований кредиторов, в срок до 31.12.2021. Постановлением Десятого арбитражного апелляционного суда от 13.04.2021 определение суда первой инстанции отменено, произведена замена кредитора - общества с ограниченной ответственностью «Строй-Инвест» на общество с ограниченной ответственностью «СтарЛайт» в порядке процессуального правопреемства; в утверждении плана реструктуризации долгов отказано. Арбитражный суд Московского округа постановлением от 13.10.2021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замене кредитора, суд апелляционной инстанции руководствовался статьей 48 Арбитражного процессуального кодекса Российской Федерации, статьями 382 , 384 Гражданского кодекса Российской Федерации и исходил из состоявшейся уступки обществу права требования задолженности, что послужило основанием для осуществления процессуальной замены кредитора его правопреемником. Отменяя определение суда первой инстанции об утверждении плана реструктуризации долгов, апелляционной суд руководствовался статьями 213.2, 213.13, 213.14, 213.18 Федерального закона от 26.10.2002 № 127-ФЗ«О несостоятельности (банкротстве)», разъяснениями, изложенными впункте 31 постановления Пленума Верховного Суда Российской Федерацииот 13.10.2015 № 45 «О некоторых вопросах, связанных с введением в действие процедур, применяемых в делах о несостоятельности (банкротстве) граждан», и исходил из того, что план реструктуризации долгов гражданина не отвечает требованиям и целям, предъявляемым к нему Федеральным законом«О несостоятельности (банкротстве)», носит предположительный и вероятностный характер, не подтвержден наличием у должника права требования выплаты премии.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межрайонная инспекция Федеральной налоговой службы №12 по Московской области (подробнее) ООО "Старлайт" (подробнее) ООО "Строй-Инвест" (подробнее) ПАО "ВТБ" (подробнее) Союз "Саморегулируемая организация арбитражных управляющих Северо-Запада"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