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17.03.2021, оставленным без изменения постановлением Одиннадцатого арбитражного апелляционного суда от 12.07.2021, исковое заявление удовлетворено. Постановлением Арбитражного суда Поволжского округа от 29.09.2021 судебные акты отменены, дело направлено на новое рассмотрение в суд первой инстанции. В кассационных жалобах, поданных в Верховный Суд Российской Федерации, САО «ВСК» и ООО «ВР-Пласт», ссылаясь на существенное нарушение норм права, просят отменить постановление суда округа и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САО «ВСК» и ООО «ВР-Пласт» заключены договоры страхования имущества от 04.07.2018 № 18490PW000432 и от 31.07.2018 № 18490PW000527, условиями которых предоставляется защита от утраты или повреждения застрахованного имущества, в том числе вследствие пожара. ООО «ВР-Пласт» (арендатор) и ООО «Технопарк Стройконструкции» (арендодатель) заключен договор аренды нежилого помещения от 10.11.2018 № 32/18. В указанном помещении 04.03.2019 в 23 часа 11 минут произошел пожар. Постановлением об отказе в возбуждении уголовного дела от 03.04.2019 № 17 установлено, что наиболее вероятной причиной пожара следует считать возгорание горючих веществ и материалов от тепловых процессов, сопровождающих аварийные режимы работ, возникших в кабельном изделии с медными токоведущими жилами, проложенными вдоль кран-балки. В результате пожара, произошедшего в здании 04.03.2019, повреждено имущество ООО «ВР-Пласт», застрахованное САО «ВСК», в связи с чем арендатор обратился к истцу с уведомлением о наступлении страхового случая, событие признано страховым и 07.06.2019 ООО «ВР-Пласт» выплачено страховое возмещение в размере 6 067 859 рублей 36 копеек по договору страхования от 04.07.2018 № 18490PW000432, а 05.06.2019 выплачено страховое возмещение в размере 563 765 рублей 23 копеек по договору страхования от 31.07.2018 № 18490PW000527. Истец считая, что имеет право суброгационного требования к ответчику, обратился в арбитражный суд с иском. Удовлетворяя требование,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пришли к выводу о доказанности истцом совокупности условий, необходимых для возложения ответственности в виде убытков на ответчика. Суды указали, что именно ответчик (как собственник) обязан должным образом содержать принадлежащее ему имущество, в том числе соблюдать правила пожарной безопасности, отметив, что соглашение между ответчиком и третьим лицом о распределении обязанности по обеспечению правил пожарной безопасности не представлено, равно как и доказательств нарушения 3 арендатором правил пожарной безопасности, которые были возложены договором аренды на ООО «ВР-Пласт», и находятся в причинно-следственной связи с возникшим пожаром. Ссылка ответчика на подписанный между ним и «ВР-Пласт» акт разграничений электросетей по эксплуатационной ответственности сторон от 09.02.2015 судом отклонена, как на утративший силу документ. Отменяя судебные акты, суд округа исходил из того, что выводы судебных инстанций не соответствуют фактическим обстоятельствам дела и имеющимся в деле доказательствам, указав, что нахождение помещений в собственности ответчика не возлагает на него ответственность за произошедшее в них возгорание. Рассматривая разногласия сторон относительно причин возникновения аварийных режимов работ, которые привели к короткому замыканию, суды приняли в качестве надлежащего доказательства по делу заключение экспертизы ФГБУ СЭУ ФПС ИПЛ по Республике Татарстан, не дав оценку экспертному заключению от 12.03.2020 № 2/1-СТД/КЗН, представленному ответчиком. Кроме того, суд округа отметил, что суды критически отнеслись к акту разграничений электросетей по эксплуатационной ответственности сторон от 09.02.2015, признав его утратившим силу, не учитывая, что указанный акт не имеет привязки к конкретному договору аренды, подписан сторонами в связи с сложившимися длительными отношениями. Доводы заявителей, изложенные в кассационных жалобах, не подтверждают нарушения судом округа норм права при вынесении обжалуемого постановления. При новом рассмотрении дела заявители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и обществу с ограниченной ответственностью «ВР-Пласт»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