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Шевцова Эдуарда Николаевича кредитор Комогорцев Евгений Евгеньевич обратился в Арбитражный суд Иркутской области с заявлением о признании недействительным договора займа, оформленного в виде долговой расписки от 22.05.2012 между Мальковцом Сергеем Юрьевичем и должником. Определением Арбитражного суда Иркутской области от 10.11.2020 в удовлетворении заявления отказано. Постановлением Четвертого арбитражного апелляционного суда от 09.04.2021 определение суда первой инстанции оставлено без изменения. Арбитражный суд Восточно-Сибирского округа постановлением от 03.09.2021 указанные судебные акты оставил без изменения. Комогорцев Евгений Евгеньевич обратился в Судебную коллегию Верховного Суда Российской Федерации с кассационной жалобой на принятые 2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кредитора, суды учли установленные судом общей юрисдикции фактические обстоятельства получения денежных средств и реальность оспариваемой сделки, руководствовались положениями статей 10, 168, 170, 812 Гражданского кодекса Российской Федерации и исходили из недоказанности недобросовестности сторон при совершении сделки с учетом установленного факта заключения договора займа, оформленного в виде долговой расписки от 22.05.2012.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Комогорцеву Евгению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