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Калмыкия от 09.12.2020, оставленным без изменения постановлением Шестнадцатого арбитражного апелляционного суда от 29.03.2021 и постановлением Арбитражного суда 2 Северо-Кавказского округа от 04.06.2021, в удовлетворении заявления отказано. Кроме того, судом округа постановлением от 04.06.2021 произведена процессуальная замена заинтересованного лица - инспекции на управление.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деятельности общества по вопросам правильности уплаты (удержания, перечисления) налогов, а также страховых взносов за период с 2015 по 2017 годы. По результатам проверки составлен акт от 18.01.2019 № 08-7/1, дополнение к акту от 15.04.2019 № 08-7/1 и принято решение от 10.06.2019 № 08-8/5 о привлечении общества к ответственности, которым доначислено 411 600 рублей единого сельскохозяйственного налога (далее - ЕСХН) за 2015 год, 365 727 рублей ЕСХН за 2016 год, 210 040 рублей пени по ЕСХН, 10 448 рублей транспортного налога и 38 866 рублей штрафа по пункту 1 статьи 122 Налогового кодекса Российской Федерации (далее - Налоговый кодекс). Кроме того, указанным решением установлено необоснованное завышение обществом убытка за 2017 год в размере 1 020 000 рублей. Решениями управления от 02.08.2019 № 31 и от 07.10.2019 № 37 апелляционные жалобы общества оставлены без удовлетворения. Не согласившись с решением инспекции в части доначисления ЕСХН за 2015-2016 годы, соответствующих пеней и штрафов, решениями управления, общество обратилось в арбитражный суд. Отказывая в удовлетворении заявленных требований, суды первой и апелляционной инстанций, исследовав и оценив представленные в материалы дела доказательства, руководствуясь положениями Налогового кодекса, Гражданского кодекса Российской Федерации, исходя из установленных обстоятельств по делу, согласились с выводом налогового органа о 3 необоснованном учете обществом расходов по основным средствам при исчислении ЕСХН, признав ненормативные правовые акты налоговых органов в оспариваемой части законными. В ходе проверки обществом не были документально подтверждены заявленные расходы в части приобретения основных средств и начисления амортизации.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Ссылка заявителя в кассационной жалобе на определение Судебной коллегии по экономическим спорам Верховного Суда Российской Федерации № 308-КГ18-14911 по делу № А32-37022/2017 не свидетельствует о неправильном применении судами норм материального права с учетом установленных обстоятельств по данному спору.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«50 лет Октября»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