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27.10.2021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Принимая во внимание положения части 3 статьи 291.5 Арбитражного процессуального кодекса Российской Федерации, согласно которым возвращение кассационной жалобы не препятствует повторному обращению с кассационной жалобой после устранения обстоятельств, послуживших основанием для ее возвращения, учитывая своевременное направление первоначальной жалобы (01.10.2021), а также устранение заявителем причин, послуживших основанием для возврата первоначально поданной жалобы, в целях обеспечения процессуальных гарантий, вытекающих из права на судебную защиту, включающего и право на обжалование судебных постановлений, ходатайство о восстановлении срока подлежит удовлетворению, пропущенный срок подлежит восстановлению.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«Новоком»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 Суд: Верховный Суд РФ (подробнее) Истцы: ООО "Новоком" (подробнее) Ответчики: ГУ Управление Пенсионного фонда Российской Федерации в городе Новороссийске Краснодарского края (подробнее) ГУ УПФ России в г. новороссийске (подробнее) УПФРФ в г.Новороссийск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