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05.02.2021 в иске отказано. 2 Постановлением Одиннадцатого арбитражного апелляционного суда от 22.04.2021 решение суда первой инстанции отменено, иск удовлетворен. Постановлением Арбитражного суда Поволжского округа от 26.08.2021 постановление суда апелляционной инстанции оставлено без изменения. Общество в кассационной жалобе просит отменить постановления судов апелляционной и кассационной инстанций, считая их незаконными и необоснованными,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Руководствуясь статьями 8, 31, 53, 69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применив положения статей 10, 166, 167, 168 Гражданского кодекса Российской Федерации, суд апелляционной инстанции удовлетворил иск, признав, что контракт заключен в нарушение законодательно установленного запрета на участие в аукционе лица, привлеченного к административной ответственности за совершение правонарушения, и посягает на публичные интересы, направленные на 3 соблюдение единого порядка осуществления закупок для государственных нужд. Суд округа согласился с выводами суда апелляционной инстанции. Приведенные в жалобе доводы, которые были предметом исследования и оценки судов апелляционной и кассационной инстанций, не свидетельствуют о наличии оснований для отмены в кассационном порядке оспариваемых судебных актов, поскольку фактически сводятся к несогласию с выводами судов по обстоятельствам дела.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