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Крым от 23.10.2020, оставленным без изменения постановлением Двадцать первого арбитражного апелляционного суда от 02.04.2021, иск удовлетворен. Постановлением Арбитражного суда Центрального округа от 26.08.2021 указанные судебные акты оставлены без изменения. Общество в кассационной жалобе просит отменить состоявшиеся по делу судебные акты, считая их незаконными и необоснованными.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статьями 8, 95 Федерального закона от 05.04.2013 №44-ФЗ «О контрактной системе в сфере закупок товаров, работ, услуг для обеспечения государственных и муниципальных нужд», статьями 10, 166, 167, 168 Гражданского кодекса Российской Федерации, суды удовлетворили иск, признав, что изменение срока окончания работ противоречит действовавшему в спорный период законодательству и посягает на публичные интересы, направленные на 3 соблюдение единого порядка осуществления закупок для государственных нужд. Приведенные в жалобе доводы, которые были предметом исследования и оценки судов, не свидетельствуют о наличии оснований для отмены в кассационном порядке оспариваемых судебных актов, поскольку фактически сводятся к несогласию с выводами судов по обстоятельствам дела. Доводов, подтверждающих существенные нарушения норм материального 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заявителем не приведено.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