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05.04.2021 в иске отказано. 2 Постановлением Десятого арбитражного апелляционного суда от 05.07.2021 решение суда первой инстанции отменено в части отказа во взыскании 859 750 рублей, иск в указанной части удовлетворен, в остальной части решение суда первой инстанции оставлено без изменения. Постановлением Арбитражного суда Московского округа от 24.09.2021 постановление суда апелляционной инстанции оставлено в силе. Управление в кассационной жалобе просит отменить постановления судов апелляционной и кассационной инстанций, в иске отказать в полном объеме.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Руководствуясь положениями статей 309, 310, 740, 763 Гражданского кодекса Российской Федерации, статей 34, 95 Федерального закона от 05.04.2013 №44-ФЗ «О контрактной системе в сфере закупок товаров, работ, услуг для обеспечения государственных и муниципальных нужд», суд апелляционной инстанции удовлетворил иск частично, признав недоказанным факт ненадлежащего исполнения обществом обязательств по контракту и 3 наличия оснований для начисления штрафа. Суд округа согласился с выводами суда апелляционной инстанции. Приведенные в жалобе доводы, которые были предметом исследования и оценки судов, не свидетельствуют о наличии оснований для отмены в кассационном порядке оспариваемых судебных актов, поскольку фактически сводятся к несогласию с выводами судов по обстоятельствам дела, свидетельствующим, что контракт не содержит условия об одновременном начислении пени и штрафа за одно и то же нарушение обязательств, тогда как при просрочке исполнения обязательств установлена мера ответственности в виде пени.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заявителем не приведено.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