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16.03.2021, оставленным без изменения постановлениями Четырнадцатого арбитражного апелляционного суда от 01.06.2021 и Арбитражного суда Северо-Западного округа от 06.09.2021, в удовлетворении иска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и обществом (исполнитель) заключен контракт на оказание услуг по проведению обязательных периодических медицинских осмотров. Заказчик, ссылаясь на невозможность проведения исполнителем всех осмотров и исследований по одному месту нахождения (по месту нахождения исполнителя нет возможности проведения флюорографии, маммографии, отсутствует оснащение медицинским оборудованием кабинета врача-стоматолога), принял решение об одностороннем отказе от контракта. Полагая, что односторонний отказ учреждения от контракта является незаконным, общество обратилось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суды, руководствуясь положениями статей 309 , 310 , 450.1 , 782 , 779 Гражданского кодекса Российской Федерации,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об отсутствии оснований для удовлетворения иска. Судебные инстанции исходили из правомерности отказа заказчика от контракта, поскольку действия исполнителя создают препятствия для надлежащего исполнения контракта и приемки услуг. При исследовании обстоятельств дела установлено, что в лицензии на осуществление медицинской деятельности общества не указаны виды работ (услуг), составляющих медицинскую деятельность по рентгенологии и стоматологии, в связи с чем общество на основании предоставленной ему лицензии не вправе проводить по указанному адресу флюорографию, маммографию и осмотры врачом-стоматологом; в десятидневный срок с даты уведомления о принятом решении об одностороннем отказе от исполнения контракта общество не устранило нарушения условий контракта. Несогласие заявителя с выводами судов,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не могут служить основанием для пересмотра судебных актов в судебном заседании Судебной коллегии Верховного Суда Российской Федерации. Существенного нарушения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«Салютис»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"Салютис" (подробнее) Ответчики: БУЗ ВО "Вологодская областная детская больница №2"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