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Самарской области от 14.09.2020, оставленным без изменения постановлением Одиннадцатого арбитражного апелляционного суда от 19.01.2021 и постановлением Арбитражного суда Поволжского округа от 24.08.2021, в удовлетворении первоначального и встречного исков отказано. В кассационной жалобе агентство просит об отмене судебных актов, ссылаясь на нарушения преюдиции и в оценке доказательств.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 исполнение обществом обязанности по оплате выполненных работ первоначальному кредитору, поэтому в силу статьи 384 Гражданского кодекса Российской Федерации признали неприобретение агентством вследствие уступки каких-либо возникающих из договора от 01.05.2016 № 04/0715 требований к обществу. Довод агентства о наличии двух самостоятельных договоров с одинаковыми предметами, обоснованный преюдицией в отношении этого обстоятельства ранее состоявшегося судебного акта, опровергнут в рамках рассматриваемого дела судами, установившими общий объем выполненных первоначальным кредитором работ, являющийся в силу реальности подрядных отношений основанием для оплаты работ. Вопросы доказывания и оценки доказательств, на которых основаны доводы жалобы, не создают оснований для кассационного пересмотра судебных актов.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«Юридическое агентство «ДЕ-ФАКТО»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ООО "Инженерно технический контроль" (подробнее) Ответчики: ЗАО "ПромМонтажСтрой" (подробнее) Иные лица: АО " Проммонтажстрой"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