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19.03.2021, оставленным без изменения постановлением Девятого арбитражного апелляционного суда от 09.06.2021 и постановлением Арбитражного суда Московского округа от 26.08.2021, в удовлетворении заявления отказано. В кассационной жалобе Кардановский С.В. просит об отмене судебных актов, ссылаясь на игнорирование доказательств, подтверждающих финансовую состоятельность кредитора и перечисления денежных средств за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применительно к критериям установления обоснованности требований, следующих из статей 71, 100 Федерального закона от 26.10.2002 № 127-ФЗ «О несостоятельности (банкротстве)» и пункта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признали не подтвержденными надлежащими доказательствами для включения в реестр передачи денежных средств за должника и наличия у кредитора финансовой возможности их уплаты. Доказывание и оценка доказательств, на которых построены доводы жалобы,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Кардановскому С.В.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