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Кемеровской области от 30.04.2021, оставленным без изменения постановлением Седьмого арбитражного апелляционного суда от 12.07.2021 и постановлением Арбитражного суда Западно-Сибирского округа от 10.09.2021, требование ФНС России в части 2 475 498 рублей недоимки включено в третью очередь реестра, в части 567 708 рублей 62 копеек пеней – признано подлежащим отдельному учету и удовлетворению после погашения долга и процентов. В кассационной жалобе Чекалин А.А. просит об отмене судебных актов, ссылаясь на пропуск срока на подачу заявления и неправомерное рассмотрение требования по существу.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Рассматриваемое заявление подано в дело о банкротстве в силу пункта 2 статьи 213.11 Федерального закона от 26.10.2002 № 127-ФЗ «О несостоятельности (банкротстве)» и правомерно рассмотрено по существу, поскольку обязанность должника по уплате налогов основана на законе и заявление об обязании к исполнению этой обязанности подано в суд своевременно и факт своевременности не изменяет последующая отмена выданных судом приказов и оставление административных исков уполномоченного органа без рассмотрения в связи с возбуждением в отношении должника дела о банкротстве.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Чекалину А.А.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