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«Логист» (далее – Общество) обратилось в Арбитражный суд Челябинской области с иском, уточненным в порядке статьи 49 Арбитражного процессуального кодекса Российской Федерации (далее – АПК РФ) к администрации города Магнитогорска (далее – Администрация) о признании помещения бойлерной площадью 63,2 кв. м, расположенного в подвале многоквартирного дома (далее – МКД) по адресу: г. Магнитогорск, ул. Гагарина, д. 18, находящимся на праве собственности у ответчика с 18.04.1995; обязании Администрации поставить на государственный кадастровый учет и присвоить государственный кадастровый номер указанному объекту недвижимости.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Челябинской области, муниципальное предприятие трест «Теплофикация» (далее – Предприятие). 2 Решением Арбитражного суда Челябинской области от 24.03.2021, оставленным без изменения постановлением Восемнадцатого арбитражного апелляционного суда от 31.05.2021 и постановлением Арбитражного суда Уральского округа от 01.09.2021,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незаконно рассмотрели иск о признании права собственности на объект за ответчиком, в то время как Обществом было заявлено требование об установлении юридического факта – нахождение объекта в муниципальной собственности. По мнению заявителя, представленные доказательства подтверждают факт нахождения спорного объекта недвижимости в муниципальной собственности и в хозяйственном ведении третьего лица – Предприятия. Заявитель отмечает, что помещение бойлерной не является помещением общего пользования конкретного МКД, не является техническим подвалом и предназначено для обслуживания нескольких МКД. Также Общество обращает внимание на неправильное распределение судом первой инстанции судебных расходов.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мая 2008 года Общество является управляющей организацией в отношении МКД в Ленинском районе города Магнитогорска, в том числе дома № 18 по ул. Гагарина. Истец пояснил, что в указанном МКД расположено нежилое помещение – бойлерная, переданное в хозяйственное ведение Предприятия, которое используется последним для подогрева холодной воды для нужд горячего водоснабжения для следующих МКД г. Магнитогорска: ул. Гагарина, 18; ул. Гагарина 18/1; пр. К. Маркса, 82; пр. К. Маркса, 82/2; пр. К. Маркса, 82а (отдельно стоящее двухэтажное здание). В обоснование требований Общество указало, что установленная в МКД по адресу: ул. Гагарина, д. 18, бойлерная, является производственным объектом, непосредственно участвующим в процессе предоставления Предприятием коммунальной услуги жителям нескольких МКД; помещение, в котором размещен бойлер, является обособленным, выделено для самостоятельного использования. 3 Исследовав и оценив по правилам статьи 71 АПК РФ представленные доказательства, руководствуясь статьями 12, 209, 216, пунктом 1 статьи 290 Гражданского кодекса Российской Федерации, разъяснениями, изложенными в пункта3,4 Постановления Пленум Высшего Арбитражного Суда Российской Федерации от 23.07.2009 №564 «О некоторых вопросах практики рассмотрения судами споров о правах собственников помещения на общее имущество здания», пунктах 58, 59 постановления Пленума Верховного Суда Российской Федерации и Пленума Высшего Арбитражного Суда Российской Федерации от 29.04.2010№10/22 «О некоторых вопросах, возникающих в судебной практике при разрешении споров, связанных с защитой права собственности и других вещных прав», статьей 36 Жилищного кодекса Российской Федерации, Правилами содержания общего имущества в многоквартирном доме, утвержденных постановлением Правительства Российской Федерации от 13.08.2006 №491, суды отказали в удовлетворении требований, придя к выводам о том, что требования Общества о признании права собственности на нежилое помещение за ответчиком противоречит смыслу избранного им защиты; поскольку у истца отсутствуют основания возникновения какого-либо вещного права на спорный объект недвижимости, а также какое-либо правопритязание, его право не может быть нарушено и восстановлено избранным истцом способом; обращение в суд с рассматриваемыми требованиями не направлено и на защиту прав собственников жилых помещений в многоквартирном доме. Судебные инстанции установили, что в помещении находится имущество, инженерные коммуникации и оборудование, к которым требуется постоянный и периодический беспрепятственный доступ для обслуживания, осмотра, предупредительного ремонта, а в случае аварий - немедленный доступ; спорное помещение является техническим, самостоятельного назначения не имеет, является вспомогательным по отношению к другим помещениям МКД; использовать спорное помещение в качестве самостоятельного на дату приватизации первой квартиры в данном доме было невозможно. Согласно представленной истцом справке, спорное помещение, в котором находится оборудование бойлерной, в муниципальную собственность г. Магнитогорска как отдельный объект учета не передавалось и в реестре муниципального имущества г. Магнитогорска не значится.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«Логист»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