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21.12.2020, оставленным без изменения постановлением Пятого арбитражного апелляционного суда от 23.03.2021 и постановлением Арбитражного суда Дальневосточного округа от 25.08.2021, первоначальные исковые требования удовлетворены, в удовлетворении встречных исковых требований отказано. В кассационной жалобе, поданной в Верховный Суд Российской Федерации, колхоз, ссылаясь на нарушение судами норм материального 2 и процессуального права,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пришли к выводу, что колхоз не подтвердил наличие предусмотренных статьями 450, 451 Гражданского кодекса Российской Федерации обстоятельств для расторжения спорных договоров и, исходя из того, что присуждение к исполнению обязанности в натуре является одним из способов защиты гражданских прав, руководствуясь статьями 12, 309, 310, 450, 451, 506, 787 Гражданского кодекса Российской Федерации, статьями 8, 198, 204, 206 Кодекса торгового мореплавания Российской Федерации, удовлетворили первоначальные требования и отказали в удовлетворении встречного иска.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«Рыболовецкий колхоз «Восток-1»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