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из обжалуемых заявителем судебных актов, принятым по существу спора, является постановление Арбитражного суда Московского округа, принятое и вступившее в законную силу 30.08.2021. Обращаясь в Верховный суд Российской Федерации с кассационной жалобой, заявитель ходатайствует о восстановлении пропущенного процессуального срока, ссылаясь на невозможность своевременной подачи жалобы в связи с обращением в суд первой инстанции с заявлением о пересмотре вступившего в законную силу судебного акта по вновь открывшимся обстоятельствам. Между тем приведенные заявителем доводы не могут быть признаны уважительными, поскольку обращение с заявлением о пересмотре судебного акта по вновь открывшимся обстоятельствам не препятствует обжалованию судебных актов в Судебную коллегию Верховного Суда Российской Федерации и не прерывает установленный процессуальным законодательством двухмесячный срок подачи жалобы.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В связи с отказом в удовлетворении ходатайства о восстановлении пропущенного процессуального срока на подачу кассационной жалобы ходатайство об отсрочке уплаты государственной пошлины рассмотрению не подлежит. Поскольку кассационная жалоба подана в электронном виде, бумажный носитель с текстом кассационной жалобы в адрес заявителя не возвращается.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«Генрек» о восстановлении пропущенного срока подачи кассационной жалобы отказать. Кассационную жалобу общества с ограниченной ответственностью «Генрек» на решение Арбитражного суда города Москвы от 06.10.2020, постановление Девятого арбитражного апелляционного суда от 21.05.2021 и постановление Арбитражного суда Московского округа от 30.08.2021 по делу № А40-43829/2020 возвратить заявителю. Судья Верховного Суда Российской Федерации Н.С. Чучунова Суд: Верховный Суд РФ (подробнее) Истцы: ООО "ИНГА" (подробнее) Ответчики: ООО "ГЕНРЕК"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