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03.11.2020 заявленные требования удовлетворены. Постановлением Девятнадцатого арбитражного апелляционного суда от 14.04.2021 решение суда отменено, принят новый судебный акт об отказе в удовлетворении заявленных требований. 2 Арбитражный суд Центрального округа постановлением от 25.08.2021 судебный акт апелляционного суда отменил, оставив в силе решение суда первой инстанции. В кассационной жалобе антимонопольный орган ставит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по результатам рассмотрения жалобы предпринимателя (абонента) на действия общества по незаконному ограничению водоснабжения в отношении принадлежащего ему нежилого помещения оспариваемым решением антимонопольный орган признал факт наличия у общества доминирующего положения на рынке услуг по холодному водоснабжению, а обозначенные действия – нарушающими положение части 1 статьи 10 Федерального закона от 26.07.2006 № 135-ФЗ «О защите конкуренции» (далее – Закон № 135-ФЗ). Предписанием заявителю указано о недопущении действий, которые могут являться препятствием для возникновения конкуренции и могут привести к ограничению, устранению конкуренции и нарушению антимонопольного законодательства. При разрешении спора суды руководствовались положениями Закона № 135-ФЗ, Федерального закона от 17.08.1995 № 147-ФЗ «О естественных 3 монополиях»,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учитывая правовую позицию, изложенную в постановлении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законодательства», исследовав и оценив представленные доказательства и обстоятельства дела. Удовлетворяя требования, суд первой инстанции пришел к выводу о том, что вмененные обществу нарушения по соблюдению порядка ограничения водоснабжения ввиду наличия у абонента задолженности по его оплате не подпадают под признаки недобросовестной конкуренции или злоупотребления доминирующим положением, в связи с чем признал оспариваемые ненормативные правовые акты не соответствующими требованиям действующего законодательства. Судом округа данные выводы поддержаны. Обстоятельства данного спора и представленные доказательства были предметом рассмотрения и оценки судов. Доводы жалобы не опровергают выводы судов, связаны с оценкой доказательств по делу, установленных судами и положенных в основу судебных актов в оспариваемой части, не подтверждают существенных нарушений судами норм материального и (или) процессуального права и не могут служить основанием для передачи жалобы на рассмотрение Судебной коллегии Верховного Суда Российской Федерации.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Воронежской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М.К. Антонова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