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его требований в размере 284 152 948 рублей 47 копеек. Определением Арбитражного суда города Москвы от 07.12.2020, оставленным без изменения постановлениями Девятого арбитражного апелляционного суда от 26.05.2021 и Арбитражного суда Московского округа от 27.08.2021, отказано в удовлетворении заявления.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обособленный спор направить на новое рассмотрение в Девятый арбитражный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Оставляя определение суда первой инстанции без изменения, апелляционный суд, руководствуясь положениями статей 15 и 330 Гражданского кодекса Российской Федерации, статей 71 и 100 Федерального закона от 26.10.2002 № 127-ФЗ «О несостоятельности (банкротстве)», согласился с выводами о недоказанности причин для удовлетворения требований общества по заявленным основаниям. Суд округа поддержал выводы судов первой и апелляционной инстанций, признав отсутствие существенных нарушений норм процессуального права, которые могут послужить основанием для отмены указанных судебных актов. Доводы заявителя, по своей сути, не опровергают вышеуказанные выводы судов.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«Капремстрой»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