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Скобелин А.А. обратился в суд с ходатайством о взыскании судебных расходов и вознаграждения арбитражного управляющего с общества. Определением Арбитражного суда Московской области от 12.04.2021, оставленным без изменения постановлениями Десятого арбитражного апелляционного суда от 10.06.2021 и Арбитражного суда Московского округа от 21.09.2021, заявление удовлетворено частично, с общества в пользу Скобелина А.А. взыскана фиксированная сумма вознаграждения за процедуру наблюдения в размере 143 000 рублей, фиксированная сумма вознаграждения за процедуру конкурсного производства в размере 1 348 000 рублей, расходы за период исполнения полномочий временного управляющего должником в сумме 15 536 рублей 95 копеек, расходы за период исполнения полномочий конкурсного управляющего должником в сумме 129 549 рублей 66 копеек.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Московской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20.3, 20.6. и 20.7 Федерального закона от 26.10.2002 № 127-ФЗ «О несостоятельности (банкротстве)», исходили из частичной обоснованности и подтверждённости требований Скобелина А.А., указав на недоказанность оснований для снижения размера вознаграждения.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Московский регион»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