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«Управление координации строительства и реконструкции «Хамовники» (далее – Управление) обратилось в Арбитражный суд Тверской области с иском о взыскании с общества с ограниченной ответственностью «ПромСтройКонструкция» (далее – Общество) 9 744 356 рублей 36 копеек задолженности по договорам подряда от 12.08.2014 № 12/08/14-дп-ЛЖ (далее – договор от 12.08.2014), от 01.09.2014 № 01/09/14-дпЛЖ (далее – договор от 01.09.2014) и от 17.09.2014 № 17/09/14-дпЛЖ (далее – договор от 17.09.2014), 9 246 415 рублей 64 копеек неустойки, 2 727 590 рублей 24 копеек процентов за пользование чужими денежными средствами. При рассмотрении дела в суде первой инстанции индивидуальный предприниматель ФИО1 (далее – Предприниматель), в порядке статьи 48 Арбитражного процессуального кодекса Российской Федерации (далее – АПК РФ), заявила ходатайство о замене в порядке процессуального правопреемства Управления на Предпринимателя. Определением Арбитражного суда Тверской области от 31.10.2019 ходатайство Предпринимателя о процессуальной замене удовлетворено. Произведена замена Управления на Предпринимателя в части требований о взыскании с ответчика 3 301 040 рублей 36 копеек задолженности и 4 646 236 рублей 50 копеек неустойки по договору от 01.09.2014; 4 904 671 рубля задолженности и 4 257 264 рублей 58 копеек неустойки по договору от 17.09.2014; 190 768 рублей задолженности и 336 494 рублей 50 копеек неустойки по договору от 12.08.2014. Предприниматель в суде первой инстанции в порядке статьи 49 АПК РФ уточнил исковые требования, в связи с чем просил взыскать с ответчика 3 301 040 рублей 36 копеек задолженности по договору от 01.09.2014; 6 733 546 рублей 51 копейку – по договору от 17.09.2014, из них: 4 904 671 рубль долга, 1 828 875 рублей 51 копейку процентов за пользование чужими денежными средствами за период с 11.07.2015 по 17.12.2019; 269 271 рубль 31 копейку – по договору от 12.08.2014, из них: 190 768 рублей долга, 78 503 рубля 31 копейку процентов за пользование чужими денежными средствами за период с 07.02.2015 по 17.12.2019. Решением Арбитражного суда Тверской области от 30.12.2019, оставленным без изменения постановлением Четырнадцатого арбитражного апелляционного суда от 26.05.2020, в удовлетворении требований Предпринимателю отказано по мотиву пропуска срока исковой давности; производство по делу № А66-5986/2019 в части требований Управления к Обществу прекращено; с Предпринимателя в доход федерального бюджета взыскано 74 519 рублей государственной пошлины. Постановлением Арбитражного суда Северо-Западного округа от 20.08.2020, решение от 30.12.2019 и постановление от 26.05.2020 отменены в части отказа в удовлетворении требований Предпринимателя; в указанной части дело направлено на новое рассмотрение в суд первой инстанции; в остальной части решение от 30.12.2019 и постановление от 26.05.2020 оставлены без изменения. При новом рассмотрении дела, решением Арбитражного суда Тверской области от 16.03.2021, оставленным без изменения постановлением Четырнадцатого арбитражного апелляционного суда от 05.07.2021 и постановлением Арбитражного суда Северо-Западного округа от 13.10.2021, требования Предпринимателя удовлетворены частично: с Общества в пользу Предпринимателя взыскано 7 483 361 рубль 35 копеек задолженности и 2 189 470 рублей 44 копейки процентов за пользование чужими денежными средствами, а также 5 482 рубля 20 копеек в возмещение расходов по уплате государственной пошлины; в остальной части в удовлетворении иска отказано. Не согласившись с указанными актами, Общество обратилось в Верховный Суд Российской Федерации с кассационной жалобой, одновременно заявив ходатайство о зачете государственной пошлины. На основании статьи 104 АПК РФ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Общества и представленные в его обоснование документы, суд приходит к выводу о наличии оснований для его удовлетворения. Руководствуясь статьями 104 , 184 и 185 Арбитражного процессуального кодекса Российской Федерации и статьей 333.21 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«ПромСтройКонструкция» о зачете государственной пошлины удовлетворить. Считать уплаченной государственную пошлину за рассмотрение кассационной жалобы Верховным Судом Российской Федерации в размере 3 000 рублей, перечисленную по платежному поручению от 10.12.2020 № 462. Судья Верховного Суда Российской Федерации Н.С. Чучунова Суд: Верховный Суд РФ (подробнее) Истцы: ИП Колесникова А.В. (подробнее) ОАО "УПРАВЛЕНИЕ КООРДИНАЦИИ СТРОИТЕЛЬСТВА И РЕКОНСТРУКЦИИ "ХАМОВНИКИ" (подробнее) Представитель ИП Колесниковой А.В, ООО "Прайм Аудит" Павел Феоктистов (подробнее) Ответчики: ООО "Промстройконструкция" (подробнее) Иные лица: Межрайонная инспекция Федеральной налоговой службы №7 по Краснодарскому краю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