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об исключении из конкурсной массы должника имущества и взыскании с муниципального образования «Копейский городской округ» лице Управления по имуществу и земельными отношениями Администрации Копейского городского округа (далее – Управление) в пользу должника компенсации в сумме 914 779 700 рублей. Управление обратилось в суд с заявлением, объединённым с заявлением конкурсного управляющего в одно производство для совместного рассмотрения, с требованием об исключении из конкурсной массы должника имущества и обязании конкурсного управляющего передать это имущество в собственность муниципального образования. Определением Арбитражного суда Челябинской области от 21.07.2020 в отдельное производство выделено требование конкурсного управляющего должником о взыскании компенсации с Управления. Определением Арбитражного суда Челябинской области от 05.10.2020 с Управления в пользу должника в счёт компенсации уменьшения конкурсной массы взыскано 619 408 608 рублей 11 копеек; в удовлетворении требования в его оставшейся части отказано. 2 Постановлением Восемнадцатого арбитражного апелляционного суда от 26.07.2021 данное определение изменено, с Управления в пользу должника в счет компенсации уменьшения конкурсной массы взыскано 415 050 000 рублей, а также расходы за оплату услуг эксперта в сумме 228 672 рубля 76 копеек. Постановлением Арбитражного суда Уральского округа от 07.10.2021 принятые по делу судебные акты отменены, дело направлено на новое рассмотрение в Арбитражный суд Челябинской области. В кассационных жалобах, поданных в Верховный Суд Российской Федерации, заявители просят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суд округа, руководствуясь статьёй 131 Федерального закона от 26.10.2002 № 127-ФЗ «О несостоятельности (банкротстве)», статьёй 9 Федерального закона от 07.12.2011 № 416-ФЗ «О водоснабжении и водоотведении», правовой позицией Конституционного Суда Российской Федерации, изложенной в постановлении от 16.05.2000 № 8-П, а также в определениях от 23.04.2013 № 640-О и от 28.05.2013 № 875-О, исходил из того, что судами не исследованы и не оценены все обстоятельства, имеющие существенное значение для дела, доводы и возражения сторон, в связи с чем направил дело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«Горводоканал-Копейск» Ларикову Алексею Владимировичу, представителю собрания кредиторов должника Сединкину Юрию Николаевичу, Ковалёву Алексею Алексеевичу, конкурсному управляющему закрытым акционерным общество «Управляющая компания «Горводоканал» Государеву Денису Михайловичу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