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Саха (Якутия) от 01.04.2021, оставленным без изменения постановлениями Четвёртого арбитражного апелляционного суда от 11.06.2021 и Арбитражного суда Восточно-Сибирского округа от 15.09.2021, конкурсному управляющему должником отказано в удовлетворении ходатайства о прекращении производства по заявлению; требование Швецова Е.М. включено в третью очередь реестра требований кредиторов должника в размере 615 115 рублей 89 копеек, из них 365 115 рублей 89 копеек составляют компенсацию за причиненный вред здоровью и 250 000 рублей штрафные санкции, отказано в удовлетворении остальной части заявления. В кассационной жалобе, поданной в Верховный Суд Российской Федерации, заявитель просит отменить названное постановление суда округа, принять новый судебный акт об удовлетворении заявления в полном объёме.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без изменения определение суда первой инстанции, постановление апелляционного суда в обжалуемой части, суд округа, руководствуясь положениями статей 330 и 333 Гражданского кодекса Российской Федерации, статьи 183.26 Федерального закона от 26.10.2002 № 127-ФЗ «О несостоятельности (банкротстве)», согласился с выводами судов о наличии оснований для уменьшения размера финансовых санкций ввиду явно завышенного размера последних.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Швецову Егору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