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«СИТРАС» (далее – общество) обратилось в суд с заявлением о включении в реестр требований кредиторов должника (далее – реестр) требования в размере 375 508 026 рублей. Определением Арбитражного суда города Москвы от 24.08.2020, оставленным без изменения постановлениями Девятого арбитражного апелляционного суда от 18.05.2021 и Арбитражного суда Московского округа от 23.08.2021, требования общества включены в третью очередь реестра. В кассационных жалобах, поданных в Верховный Суд Российской Федерации, заявители просят отменить названные судебные акты и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пришли к выводу об обоснованности и подтверждённости требований общества к должнику и, как следствие, наличия оснований для включения требований общества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Хартманну Акселю Нильсу и финансовому управляющему имуществом Хартманна Акселя Нильса Дронову Олегу Владимировичу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