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(далее – реестр) задолженности в размере 256 031 440 рублей 70 копеек. Определением Арбитражного суда города Москвы от 28.12.2020 заявление удовлетворено. Постановлением Девятого арбитражного апелляционного суда от 09.06.2021, оставленным без изменения постановлением Арбитражного суда Московского округа от 13.09.2021,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обособленный спор на новое рассмотрение в Девятый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170 Гражданского кодекса Российской Федерации, статьями 71,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недоказанности наличия и размера задолженности перед компанией, как заинтересованным по отношению к должнику лицом, в связи с чем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«Торговая компания «Авенир»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