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Москвы от 22.12.2020, оставленным без изменения постановлениями Девятого арбитражного апелляционного суда от 31.03.2021 и Арбитражного суда Московского округа от 05.10.2021, в удовлетворении заявленных требований отказано. В кассационной жалобе предприниматель ставит вопрос об отмене принятых по делу судебных актов, полагая, что судами существенно нарушены нормы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полагая, что налог на имущество (нежилые помещения в здании по адресу г. Москва, ул. Лесная, д. 43) физических лиц за спорные налоговые периоды уплачен в завышенном размере, предприниматель обратился в налоговый орган с заявлением о возврате переплаты. По мнению заявителя, расчет налога должен быть произведен пропорционально доли его владения спорным имуществом (1/2 доли в праве), кроме того, из расчета необходимо исключить помещения, признанные самовольной постройкой и исключенные из договора купли-продажи данных помещений в судебном порядке. Оспариваемым решением инспекции, оставленным без изменения вышестоящим налоговым органом, предпринимателю отказано в возврате данного налога в связи с установлением того, что в спорный налоговый период имели место фактические отношения по владению всем имуществом, 3 использованным заявителем в предпринимательской деятельности и являющимся источником его дохода. При разрешении спора, исследовав и оценив обстоятельства дела и представленные доказательства, учитывая обстоятельства, установленные при рассмотрении дел № А40-187350/2015, № А40-239204/2018, руководствуясь положениями Налогового кодекса, суды согласились с выводами налогового органа о наличии оснований для начисления и уплаты налога на имущество в спорный период, исходя из фактической площади объектов, используемых в предпринимательской деятельности предпринимателем, отметив, что основания, на которые ссылается заявитель для расчета налога применимо к новым характеристикам зданий, возникли за пределами спорного периода (после 2019 года). Обстоятельства данного спора и представленные доказательства были предметом рассмотрения и оценки судов. Приведенные в жалобе доводы сводятся к изложению обстоятельств дела, которые получили надлежащую правовую оценку судов и мотивированно отклонены, не опровергают, не подтверждают существенных нарушений судами норм материального и (или) процессуального права, основаны на неверном толковании положений законодательства, фактически направлены на переоценку выводов судов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Беляеву Тимофею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