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«ГСП-5» обратилось в Арбитражный суд Томской области с иском к обществу с ограниченной ответственностью «Вектор-Т» об обязании передать вагон «Рыбинск», инвентарный № 00000534, взыскании 840 000 рублей убытков и 70 200 рублей штрафа.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«Стройсервис». Решением Арбитражного суда Томской области от 22.01.2021 иск удовлетворен. Постановлением Седьмого арбитражного апелляционного суда от 26.04.2021 решение суда первой инстанции оставлено без изменения. Арбитражный суд Западно-Сибирского округа постановлением от 30.08.2021 указанные судебные акты отменил и в удовлетворении иска отказал. Общество с ограниченной ответственностью «Стройсервис»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окружной суд руководствовался положениями статей 196, 197, 200, 797 Гражданского кодекса Российской Федерации, исходил из даты вывоза груза, момента, с которого истцу, не получившему груз в разумный срок, должно было стать известно о нарушении его права (следующий день после истечения срока исполнения ответчиком обязательства по перевозке груза), и пришел к выводу о пропуске срока исковой давности по требованиям, связанным с ненадлежащим исполнением ответчиком обязательств по перевозке. Доводы жалобы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