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18.07.2020 Дикман Светлана Валентиновна признана несостоятельной (банкротом), в отношении нее введена процедура реализации имущества гражданина, финансовым управляющим имуществом должника утвержден Пищальников Владимир Владимирович. Финансовый управляющий обратился в суд с заявлением о признании недействительной сделки по передаче должником в пользу Путиной И.С. автомобиля, применении последствий ее недействительности в виде обязания ответчика возвратить в конкурсную массу должника спорное транспортное средство. Определением Арбитражного суда Свердловской области от 09.02.2021 заявление финансового управляющего удовлетворено. Постановлением Семнадцатого арбитражного апелляционного суда от 21.04.2021 определение суда первой инстанции оставлено без изменения. Арбитражный суд Уральского округа постановлением от 26.08.2021 указанные судебные акты оставил без изменения. 2 Путина Ирина Станиславовна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недобросовестного поведения сторон договора, являющихся заинтересованными лицами, совершения сделки со злоупотреблением правом в целях причинения вреда имущественным интересам кредиторов. В частности, суды установили, что сделка совершена в целях вывода спорного автомобиля из процедуры раздела имущества в связи с расторжением брака, в отсутствие воли сторон на возмездное отчуждение имущества в собственность покупателя.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Путиной Ирине Станиславовне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