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30.03.2021, оставленным без изменения постановлением Девятого арбитражного апелляционного суда от 16.06.2021 и постановлением Арбитражного суда Московского округа от 17.08.2021, заявление ответчика о взыскании с истца судебных расходов удовлетворено. В кассационной жалобе общество «ВинХимКолор» просит о пересмотре судебных актов в отношении судебных расходов, ссылаясь на их неразумность и необоснованность.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«ВинХимКолор»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