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23.12.2020, оставленным без изменения постановлением Тринадцатого арбитражного апелляционного суда от 13.04.2021 и постановлением Арбитражного суда Северо-Западного округа от 26.08.2021, в удовлетворении требований отказано. Общество обратилось в Верховный Суд Российской Федерации с кассационной жалобой на указанные судебные акты, в которой просит их отменить, ссылаясь на нарушение судами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доказательства, суды, руководствуясь частью 4 статьи 198 Арбитражного процессуального кодекса Российской Федерации, пришли к выводу о пропуске обществом срока на подачу заявления об оспаривании решения налогового органа и отсутствии уважительных причин для его восстановления, а также об отсутствии оснований для признания решения инспекции недействительным. При этом оценивая законность ненормативного акта, суды, руководствуясь положениями статей 252, 265, 266 Налогового кодекса, принимая во внимание разъяснения, изложенные в постановлении Пленума Высшего Арбитражного Суда Российской Федерации от 12.10.2006 № 53 «Об 3 оценке арбитражными судами обоснованности получения налогоплательщиком налоговой выгоды», обстоятельства, установленные при рассмотрении дела № А76-18861/2018, поддержали выводы инспекции о том, что неправомерные действия общества по включению дебиторской задолженности контрагента в состав внереализационных расходов, учитываемых при определении налоговой базы по налогу на прибыль за 2017 год, в качестве безнадежного долга ликвидируемой организации, имели целью получение необоснованной налоговой выгоды путем искусственного увеличения внереализационных расходов. Доводы жалобы, в том числе относительно наличия уважительных причин пропуска срока, являлись предметом рассмотрения судов и им дана надлежащая правовая оценка. Изложенные в кассационной жалобе доводы не свидетельствуют о существенных нарушениях норм материального и процессуального права, повлиявших на исход дела, и сводятся, по существу, к несогласию с выводами судов по обстоятельствам дела, в связи с чем, не могут быть признаны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