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Мордовия от 08.08.2019 в удовлетворении исковых требований отказано. При рассмотрении дела в суде апелляционной инстанции обществом заявлено ходатайство о процессуальном правопреемстве и замене третьего 2 лица – компании на общество с ограниченной ответственностью «САММИТ КАПИТАЛ». Постановлением Первого арбитражного апелляционного суда от 16.04.2021 обществу отказано в удовлетворении ходатайства о процессуальном правопреемстве, решение суда первой инстанции оставлено без изменения. Постановлением Арбитражного суда Волго-Вятского округа от 18.08.2021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общества (субподрядчик) мотивированы тем, что в нарушение условий заключенных сторонами договоров субподряда от 18.04.2016 № 228 и 229 (далее – договоры) предприятие (генподрядчик) не приняло выполненные обществом работы, не подписало акты об их приемке и не оплатило результат работ, включая стоимость материальных ресурсов (оборудования). Исследовав и оценив по правилам статьи 71 Арбитражного процессуального кодекса Российской Федерации представленные в материалах дела доказательства, признав недоказанным факт выполнения обществом работ, установив необеспечение объекта строительства необходимыми для выполнения работ материальными ресурсами (оборудованием) на заявленную сумму, нахождение оборудования на хранении у третьего лица и отсутствие потребительской ценности данного оборудования для предприятия, принимая во внимание сроки выполнения работ по договорам, их действие до 31.05.2017, финансирование работ за счет средств федерального бюджета, расторжение государственного контракта, во исполнение которого заключены договоры, невозможность исполнения ответчиком условий договора, руководствуясь статьями 309, 310, 420, 702, 711, 720, 753 Гражданского кодекса Российской Федерации, суды первой и апелляционной инстанций пришли к выводу об отсутствии оснований для удовлетворения исковых требований. 3 Оснований для удовлетворения ходатайства истца о процессуальном правопреемстве третьего лица апелляционный суд не усмотрел. Суд округа поддержал выводы судов первой и апелляционной инстанций. Изложенные в кассационной жалобе доводы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